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C0" w:rsidRDefault="00E85BC0" w:rsidP="00E85BC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E54A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Реализуемые образовательные программы внеурочной деятельности</w:t>
      </w:r>
    </w:p>
    <w:p w:rsidR="00E85BC0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85BC0" w:rsidRPr="00EE2B8B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EE2B8B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 (далее – ФГОС) начального общего образования, утвержденным приказом Министерства  образования и науки Российской Федерации от 06.10.2009 № 373, и ФГОС основного  общего образования, утвержденным приказом Министерства образования и науки  Российской Федерации от 17.12.2010 № 1897, основные образовательные программы начального общего и  основного общего образования реализуются ГБОУ СОШ № 481 с углублённым изучением немецкого языка Кировского района Санкт-Петербурга</w:t>
      </w:r>
      <w:proofErr w:type="gramEnd"/>
      <w:r w:rsidRPr="00EE2B8B">
        <w:rPr>
          <w:rFonts w:ascii="Times New Roman" w:hAnsi="Times New Roman"/>
          <w:sz w:val="24"/>
          <w:szCs w:val="24"/>
        </w:rPr>
        <w:t xml:space="preserve">   через организацию урочной и внеурочной деятельности  с соблюдением требований государственных   санитарно-эпидемиологических  правил   и нормативов.</w:t>
      </w:r>
    </w:p>
    <w:p w:rsidR="00E85BC0" w:rsidRPr="00EE2B8B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Под внеурочной деятельностью при реализации ФГОС начального общего и основного общего образования  понимается образовательная деятельность, </w:t>
      </w:r>
      <w:proofErr w:type="gramStart"/>
      <w:r w:rsidRPr="00EE2B8B">
        <w:rPr>
          <w:rFonts w:ascii="Times New Roman" w:hAnsi="Times New Roman"/>
          <w:sz w:val="24"/>
          <w:szCs w:val="24"/>
        </w:rPr>
        <w:t>осуществляемая</w:t>
      </w:r>
      <w:proofErr w:type="gramEnd"/>
      <w:r w:rsidRPr="00EE2B8B">
        <w:rPr>
          <w:rFonts w:ascii="Times New Roman" w:hAnsi="Times New Roman"/>
          <w:sz w:val="24"/>
          <w:szCs w:val="24"/>
        </w:rPr>
        <w:t xml:space="preserve"> в формах, отличных  от урочной, и направленная на достижение планируемых результатов  освоения основных образовательных программ начального общего и основного общего образования.  </w:t>
      </w:r>
    </w:p>
    <w:p w:rsidR="00E85BC0" w:rsidRPr="00EE2B8B" w:rsidRDefault="00E85BC0" w:rsidP="00E85BC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 по следующим направлениям развития личности: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спортивно-оздоровительное, 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духовно-нравственное,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 xml:space="preserve">социальное,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B8B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EE2B8B">
        <w:rPr>
          <w:rFonts w:ascii="Times New Roman" w:hAnsi="Times New Roman"/>
          <w:sz w:val="24"/>
          <w:szCs w:val="24"/>
        </w:rPr>
        <w:t xml:space="preserve">, </w:t>
      </w:r>
    </w:p>
    <w:p w:rsidR="00E85BC0" w:rsidRPr="00EE2B8B" w:rsidRDefault="00E85BC0" w:rsidP="00E85B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>общекультурное</w:t>
      </w:r>
      <w:r>
        <w:rPr>
          <w:rFonts w:ascii="Times New Roman" w:hAnsi="Times New Roman"/>
          <w:sz w:val="24"/>
          <w:szCs w:val="24"/>
        </w:rPr>
        <w:t>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r w:rsidRPr="00EE2B8B">
        <w:rPr>
          <w:rFonts w:ascii="Times New Roman" w:hAnsi="Times New Roman"/>
          <w:sz w:val="24"/>
          <w:szCs w:val="24"/>
        </w:rPr>
        <w:t xml:space="preserve">с углублённым изучением немецкого языка Кировского района Санкт-Петербурга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самостоятельно разрабатывает и утверждает: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план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режим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рабочие программы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расписание занятий внеурочной деятельности.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8 человек. Максимальное количество 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на занятии внеурочной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r>
        <w:rPr>
          <w:rFonts w:ascii="Times New Roman" w:hAnsi="Times New Roman"/>
          <w:sz w:val="24"/>
          <w:szCs w:val="24"/>
          <w:lang w:eastAsia="ru-RU"/>
        </w:rPr>
        <w:t>не ограничено</w:t>
      </w:r>
      <w:r w:rsidRPr="00EE2B8B">
        <w:rPr>
          <w:rFonts w:ascii="Times New Roman" w:hAnsi="Times New Roman"/>
          <w:sz w:val="24"/>
          <w:szCs w:val="24"/>
          <w:lang w:eastAsia="ru-RU"/>
        </w:rPr>
        <w:t>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При разработке и утверждении режима внеурочной деятельности ГБОУ СОШ № 481 </w:t>
      </w:r>
      <w:r w:rsidRPr="00EE2B8B">
        <w:rPr>
          <w:rFonts w:ascii="Times New Roman" w:hAnsi="Times New Roman"/>
          <w:sz w:val="24"/>
          <w:szCs w:val="24"/>
        </w:rPr>
        <w:t xml:space="preserve">с углублённым изучением немецкого языка Кировского района Санкт-Петербурга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учитывает  требования государственных санитарн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эпидемиологических правил и нормативов.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Расписание занятий внеурочной деятельности формируется  отдельно от расписания уроков ГБОУ СОШ № 481 </w:t>
      </w:r>
      <w:r w:rsidRPr="00EE2B8B">
        <w:rPr>
          <w:rFonts w:ascii="Times New Roman" w:hAnsi="Times New Roman"/>
          <w:sz w:val="24"/>
          <w:szCs w:val="24"/>
        </w:rPr>
        <w:t>с углублённым изучением немецкого языка Кировского района Санкт-Петербурга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. Продолжительность занятия внеурочной деятельности составляет 35 минут для обучающихся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-х  классов в первом полугодии и 45 минут для обучающихся 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классов и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-х классов со второго полугодия.   </w:t>
      </w:r>
    </w:p>
    <w:p w:rsidR="00E85BC0" w:rsidRPr="00E91FB7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FB7">
        <w:rPr>
          <w:rFonts w:ascii="Times New Roman" w:hAnsi="Times New Roman"/>
          <w:sz w:val="24"/>
          <w:szCs w:val="24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E85BC0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EE2B8B">
        <w:rPr>
          <w:rFonts w:ascii="Times New Roman" w:hAnsi="Times New Roman"/>
          <w:sz w:val="24"/>
          <w:szCs w:val="24"/>
          <w:lang w:eastAsia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</w:t>
      </w:r>
      <w:r w:rsidRPr="008F2BDE">
        <w:rPr>
          <w:rFonts w:ascii="Times New Roman" w:hAnsi="Times New Roman"/>
          <w:sz w:val="24"/>
          <w:szCs w:val="24"/>
          <w:lang w:eastAsia="ru-RU"/>
        </w:rPr>
        <w:t xml:space="preserve">на уровне основного общего образования (до 1750 часов за пять лет обучения, в год - не более 350 </w:t>
      </w:r>
      <w:r w:rsidRPr="008F2BDE">
        <w:rPr>
          <w:rFonts w:ascii="Times New Roman" w:hAnsi="Times New Roman"/>
          <w:sz w:val="24"/>
          <w:szCs w:val="24"/>
          <w:lang w:eastAsia="ru-RU"/>
        </w:rPr>
        <w:lastRenderedPageBreak/>
        <w:t>часов) с учетом интересов обучающихся и возможностей ГБОУ СОШ № 481 с углублённым изучением немецкого языка Кировского</w:t>
      </w:r>
      <w:proofErr w:type="gramEnd"/>
      <w:r w:rsidRPr="008F2BDE">
        <w:rPr>
          <w:rFonts w:ascii="Times New Roman" w:hAnsi="Times New Roman"/>
          <w:sz w:val="24"/>
          <w:szCs w:val="24"/>
          <w:lang w:eastAsia="ru-RU"/>
        </w:rPr>
        <w:t xml:space="preserve"> района Санкт-Петербурга. </w:t>
      </w:r>
    </w:p>
    <w:tbl>
      <w:tblPr>
        <w:tblW w:w="95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992"/>
        <w:gridCol w:w="992"/>
        <w:gridCol w:w="993"/>
        <w:gridCol w:w="992"/>
        <w:gridCol w:w="1984"/>
      </w:tblGrid>
      <w:tr w:rsidR="00E85BC0" w:rsidRPr="00E91FB7" w:rsidTr="00A6797F">
        <w:tc>
          <w:tcPr>
            <w:tcW w:w="3636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gridSpan w:val="4"/>
          </w:tcPr>
          <w:p w:rsidR="00E85BC0" w:rsidRPr="00E91FB7" w:rsidRDefault="00E85BC0" w:rsidP="00A67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984" w:type="dxa"/>
            <w:vMerge w:val="restart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Всего за 4 года обучения</w:t>
            </w:r>
          </w:p>
        </w:tc>
      </w:tr>
      <w:tr w:rsidR="00E85BC0" w:rsidRPr="00E91FB7" w:rsidTr="00A6797F">
        <w:tc>
          <w:tcPr>
            <w:tcW w:w="3636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Merge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5BC0" w:rsidRPr="00E91FB7" w:rsidTr="00A6797F">
        <w:tc>
          <w:tcPr>
            <w:tcW w:w="3636" w:type="dxa"/>
          </w:tcPr>
          <w:p w:rsidR="00E85BC0" w:rsidRPr="00E91FB7" w:rsidRDefault="00E85BC0" w:rsidP="00A679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</w:tcPr>
          <w:p w:rsidR="00E85BC0" w:rsidRPr="00E91FB7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</w:tbl>
    <w:p w:rsidR="00E85BC0" w:rsidRPr="00EE2B8B" w:rsidRDefault="00E85BC0" w:rsidP="00E85BC0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7"/>
        <w:gridCol w:w="1305"/>
        <w:gridCol w:w="1305"/>
        <w:gridCol w:w="1305"/>
        <w:gridCol w:w="1310"/>
        <w:gridCol w:w="1339"/>
        <w:gridCol w:w="1336"/>
      </w:tblGrid>
      <w:tr w:rsidR="00E85BC0" w:rsidRPr="00EE2B8B" w:rsidTr="00A6797F">
        <w:tc>
          <w:tcPr>
            <w:tcW w:w="1847" w:type="dxa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5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336" w:type="dxa"/>
            <w:vMerge w:val="restart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Всего за 5 лет обучения</w:t>
            </w:r>
          </w:p>
        </w:tc>
      </w:tr>
      <w:tr w:rsidR="00E85BC0" w:rsidRPr="00EE2B8B" w:rsidTr="00A6797F">
        <w:tc>
          <w:tcPr>
            <w:tcW w:w="1847" w:type="dxa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  <w:p w:rsidR="00E85BC0" w:rsidRPr="00EE2B8B" w:rsidRDefault="00E85BC0" w:rsidP="00A6797F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C0" w:rsidRPr="00EE2B8B" w:rsidTr="00A6797F">
        <w:tc>
          <w:tcPr>
            <w:tcW w:w="1847" w:type="dxa"/>
          </w:tcPr>
          <w:p w:rsidR="00E85BC0" w:rsidRPr="00EE2B8B" w:rsidRDefault="00E85BC0" w:rsidP="00A6797F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10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9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6" w:type="dxa"/>
            <w:vAlign w:val="center"/>
          </w:tcPr>
          <w:p w:rsidR="00E85BC0" w:rsidRPr="00EE2B8B" w:rsidRDefault="00E85BC0" w:rsidP="00A6797F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</w:tr>
    </w:tbl>
    <w:p w:rsidR="00E85BC0" w:rsidRPr="00EE2B8B" w:rsidRDefault="00E85BC0" w:rsidP="00E85BC0">
      <w:pPr>
        <w:rPr>
          <w:rFonts w:ascii="Times New Roman" w:hAnsi="Times New Roman"/>
          <w:sz w:val="24"/>
          <w:szCs w:val="24"/>
          <w:lang w:eastAsia="ru-RU"/>
        </w:rPr>
      </w:pPr>
    </w:p>
    <w:p w:rsidR="00E85BC0" w:rsidRPr="00310792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792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310792">
        <w:rPr>
          <w:rFonts w:ascii="Times New Roman" w:hAnsi="Times New Roman"/>
          <w:sz w:val="24"/>
          <w:szCs w:val="24"/>
          <w:lang w:eastAsia="ru-RU"/>
        </w:rPr>
        <w:t>План внеурочной деятельности в первую очередь должен быть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образования.</w:t>
      </w:r>
      <w:proofErr w:type="gramEnd"/>
    </w:p>
    <w:p w:rsidR="00E85BC0" w:rsidRPr="00310792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5BC0" w:rsidRPr="001760A7" w:rsidRDefault="00E85BC0" w:rsidP="00E85BC0">
      <w:pPr>
        <w:rPr>
          <w:rFonts w:ascii="Times New Roman" w:hAnsi="Times New Roman"/>
          <w:b/>
          <w:sz w:val="24"/>
          <w:szCs w:val="24"/>
        </w:rPr>
      </w:pPr>
      <w:r w:rsidRPr="001760A7">
        <w:rPr>
          <w:rFonts w:ascii="Times New Roman" w:hAnsi="Times New Roman"/>
          <w:b/>
          <w:sz w:val="24"/>
          <w:szCs w:val="24"/>
        </w:rPr>
        <w:t>Предлагаемые</w:t>
      </w:r>
      <w:r w:rsidRPr="003E3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образовательные программы внеурочной деятельности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jc w:val="center"/>
        <w:tblInd w:w="-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2870"/>
        <w:gridCol w:w="1276"/>
        <w:gridCol w:w="1807"/>
        <w:gridCol w:w="1417"/>
      </w:tblGrid>
      <w:tr w:rsidR="00E85BC0" w:rsidRPr="000A2DD6" w:rsidTr="00A6797F">
        <w:trPr>
          <w:trHeight w:val="1180"/>
          <w:jc w:val="center"/>
        </w:trPr>
        <w:tc>
          <w:tcPr>
            <w:tcW w:w="3050" w:type="dxa"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Направление внеурочной деятельности</w:t>
            </w:r>
          </w:p>
        </w:tc>
        <w:tc>
          <w:tcPr>
            <w:tcW w:w="2870" w:type="dxa"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Название курсов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 xml:space="preserve">Классы </w:t>
            </w:r>
          </w:p>
        </w:tc>
        <w:tc>
          <w:tcPr>
            <w:tcW w:w="1807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Вид образо</w:t>
            </w:r>
            <w:r>
              <w:rPr>
                <w:rFonts w:ascii="Times New Roman" w:hAnsi="Times New Roman"/>
              </w:rPr>
              <w:t>вательной программы (</w:t>
            </w:r>
            <w:proofErr w:type="gramStart"/>
            <w:r>
              <w:rPr>
                <w:rFonts w:ascii="Times New Roman" w:hAnsi="Times New Roman"/>
              </w:rPr>
              <w:t>основная</w:t>
            </w:r>
            <w:proofErr w:type="gramEnd"/>
            <w:r>
              <w:rPr>
                <w:rFonts w:ascii="Times New Roman" w:hAnsi="Times New Roman"/>
              </w:rPr>
              <w:t>, д</w:t>
            </w:r>
            <w:r w:rsidRPr="000A2DD6">
              <w:rPr>
                <w:rFonts w:ascii="Times New Roman" w:hAnsi="Times New Roman"/>
              </w:rPr>
              <w:t>ополнительная)</w:t>
            </w:r>
          </w:p>
        </w:tc>
        <w:tc>
          <w:tcPr>
            <w:tcW w:w="1417" w:type="dxa"/>
          </w:tcPr>
          <w:p w:rsidR="00E85BC0" w:rsidRPr="000A2DD6" w:rsidRDefault="00E85BC0" w:rsidP="00A6797F">
            <w:pPr>
              <w:spacing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Форма обучения</w:t>
            </w:r>
          </w:p>
        </w:tc>
      </w:tr>
      <w:tr w:rsidR="00E85BC0" w:rsidRPr="000A2DD6" w:rsidTr="00A6797F">
        <w:trPr>
          <w:trHeight w:val="412"/>
          <w:jc w:val="center"/>
        </w:trPr>
        <w:tc>
          <w:tcPr>
            <w:tcW w:w="3050" w:type="dxa"/>
            <w:vMerge w:val="restart"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Спортивно-оздоровительное</w:t>
            </w:r>
          </w:p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Спортивные и подвижные игры</w:t>
            </w:r>
          </w:p>
        </w:tc>
        <w:tc>
          <w:tcPr>
            <w:tcW w:w="1276" w:type="dxa"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E85BC0" w:rsidRPr="001121AC" w:rsidRDefault="00E85BC0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Pr="001121AC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412"/>
          <w:jc w:val="center"/>
        </w:trPr>
        <w:tc>
          <w:tcPr>
            <w:tcW w:w="3050" w:type="dxa"/>
            <w:vMerge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vAlign w:val="center"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Игры разных народов</w:t>
            </w:r>
          </w:p>
        </w:tc>
        <w:tc>
          <w:tcPr>
            <w:tcW w:w="1276" w:type="dxa"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E85BC0" w:rsidRPr="001121AC" w:rsidRDefault="00E85BC0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Pr="001121AC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465"/>
          <w:jc w:val="center"/>
        </w:trPr>
        <w:tc>
          <w:tcPr>
            <w:tcW w:w="3050" w:type="dxa"/>
            <w:vMerge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605F1D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605F1D">
              <w:rPr>
                <w:rFonts w:ascii="Times New Roman" w:hAnsi="Times New Roman"/>
              </w:rPr>
              <w:t>Физкультура для всех</w:t>
            </w:r>
          </w:p>
          <w:p w:rsidR="00E85BC0" w:rsidRPr="00605F1D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8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285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605F1D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 для всех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285"/>
          <w:jc w:val="center"/>
        </w:trPr>
        <w:tc>
          <w:tcPr>
            <w:tcW w:w="3050" w:type="dxa"/>
            <w:vMerge/>
            <w:vAlign w:val="center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E85BC0" w:rsidRPr="00B4251D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Многоликая биология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250"/>
          <w:jc w:val="center"/>
        </w:trPr>
        <w:tc>
          <w:tcPr>
            <w:tcW w:w="3050" w:type="dxa"/>
            <w:vMerge w:val="restart"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870" w:type="dxa"/>
            <w:hideMark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Занимательная грамматика</w:t>
            </w:r>
          </w:p>
        </w:tc>
        <w:tc>
          <w:tcPr>
            <w:tcW w:w="1276" w:type="dxa"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1–2</w:t>
            </w:r>
            <w:r w:rsidRPr="001121AC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Pr="001121AC" w:rsidRDefault="00E85BC0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Pr="001121AC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200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Речь. Школа развития речи</w:t>
            </w:r>
          </w:p>
        </w:tc>
        <w:tc>
          <w:tcPr>
            <w:tcW w:w="1276" w:type="dxa"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3  классы</w:t>
            </w:r>
          </w:p>
        </w:tc>
        <w:tc>
          <w:tcPr>
            <w:tcW w:w="1807" w:type="dxa"/>
          </w:tcPr>
          <w:p w:rsidR="00E85BC0" w:rsidRPr="001121AC" w:rsidRDefault="00E85BC0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Pr="001121AC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305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76" w:type="dxa"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E85BC0" w:rsidRPr="001121AC" w:rsidRDefault="00E85BC0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Pr="001121AC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305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в твоем классе</w:t>
            </w:r>
          </w:p>
        </w:tc>
        <w:tc>
          <w:tcPr>
            <w:tcW w:w="1276" w:type="dxa"/>
          </w:tcPr>
          <w:p w:rsidR="00E85BC0" w:rsidRPr="001121AC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3  классы</w:t>
            </w:r>
          </w:p>
        </w:tc>
        <w:tc>
          <w:tcPr>
            <w:tcW w:w="1807" w:type="dxa"/>
          </w:tcPr>
          <w:p w:rsidR="00E85BC0" w:rsidRPr="001121AC" w:rsidRDefault="00E85BC0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Pr="001121AC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397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217297" w:rsidRDefault="00E85BC0" w:rsidP="00A679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 xml:space="preserve">Страноведение </w:t>
            </w:r>
          </w:p>
        </w:tc>
        <w:tc>
          <w:tcPr>
            <w:tcW w:w="1276" w:type="dxa"/>
          </w:tcPr>
          <w:p w:rsidR="00E85BC0" w:rsidRPr="00217297" w:rsidRDefault="00E85BC0" w:rsidP="00A679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Pr="00217297" w:rsidRDefault="00E85BC0" w:rsidP="00A6797F">
            <w:pPr>
              <w:spacing w:line="240" w:lineRule="auto"/>
              <w:rPr>
                <w:color w:val="FF0000"/>
              </w:rPr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Pr="00217297" w:rsidRDefault="00E85BC0" w:rsidP="00A6797F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540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B4251D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История Германии в биографиях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540"/>
          <w:jc w:val="center"/>
        </w:trPr>
        <w:tc>
          <w:tcPr>
            <w:tcW w:w="3050" w:type="dxa"/>
            <w:vMerge/>
            <w:vAlign w:val="center"/>
            <w:hideMark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E85BC0" w:rsidRPr="00B4251D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540"/>
          <w:jc w:val="center"/>
        </w:trPr>
        <w:tc>
          <w:tcPr>
            <w:tcW w:w="3050" w:type="dxa"/>
            <w:vMerge/>
            <w:vAlign w:val="center"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E85BC0" w:rsidRPr="00B4251D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ИКТ. Задачи за пределами основного курса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257"/>
          <w:jc w:val="center"/>
        </w:trPr>
        <w:tc>
          <w:tcPr>
            <w:tcW w:w="3050" w:type="dxa"/>
            <w:vMerge/>
            <w:vAlign w:val="center"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E85BC0" w:rsidRPr="00B4251D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Стилистика и культура речи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E85BC0" w:rsidRPr="000A2DD6" w:rsidTr="00A6797F">
        <w:trPr>
          <w:trHeight w:val="540"/>
          <w:jc w:val="center"/>
        </w:trPr>
        <w:tc>
          <w:tcPr>
            <w:tcW w:w="3050" w:type="dxa"/>
            <w:tcBorders>
              <w:top w:val="nil"/>
            </w:tcBorders>
            <w:vAlign w:val="center"/>
          </w:tcPr>
          <w:p w:rsidR="00E85BC0" w:rsidRPr="000A2DD6" w:rsidRDefault="00E85BC0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E85BC0" w:rsidRPr="00B4251D" w:rsidRDefault="00E85BC0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К тайнам слова</w:t>
            </w:r>
          </w:p>
        </w:tc>
        <w:tc>
          <w:tcPr>
            <w:tcW w:w="1276" w:type="dxa"/>
          </w:tcPr>
          <w:p w:rsidR="00E85BC0" w:rsidRPr="000A2DD6" w:rsidRDefault="00E85BC0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классы</w:t>
            </w:r>
          </w:p>
        </w:tc>
        <w:tc>
          <w:tcPr>
            <w:tcW w:w="1807" w:type="dxa"/>
          </w:tcPr>
          <w:p w:rsidR="00E85BC0" w:rsidRDefault="00E85BC0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E85BC0" w:rsidRDefault="00E85BC0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 w:val="restart"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</w:t>
            </w:r>
            <w:r w:rsidRPr="000A2DD6">
              <w:rPr>
                <w:rFonts w:ascii="Times New Roman" w:hAnsi="Times New Roman"/>
              </w:rPr>
              <w:t>интеллектуальное</w:t>
            </w:r>
            <w:proofErr w:type="spellEnd"/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tabs>
                <w:tab w:val="right" w:pos="265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 xml:space="preserve">Умники и умницы  </w:t>
            </w:r>
            <w:r w:rsidRPr="001121AC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 xml:space="preserve">Логика 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1–3</w:t>
            </w:r>
            <w:r w:rsidRPr="001121AC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>Мы любим математику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 xml:space="preserve">Занимательная математика 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3 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 xml:space="preserve">В мире математики 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B4251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Веб-дизайн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B4251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Избранные вопросы по математике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B4251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За страницами учебника химии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B4251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Общие интеллектуальные вопросы физики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18503D">
        <w:trPr>
          <w:trHeight w:val="255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Pr="00B4251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играем и поем по-немецки</w:t>
            </w:r>
          </w:p>
        </w:tc>
        <w:tc>
          <w:tcPr>
            <w:tcW w:w="1276" w:type="dxa"/>
            <w:vMerge w:val="restart"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классы</w:t>
            </w: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210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Веселый немецкий язык</w:t>
            </w:r>
          </w:p>
        </w:tc>
        <w:tc>
          <w:tcPr>
            <w:tcW w:w="1276" w:type="dxa"/>
            <w:vMerge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8503D" w:rsidRDefault="0018503D" w:rsidP="00002A0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002A0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18503D">
        <w:trPr>
          <w:trHeight w:val="240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Pr="00B4251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малышей</w:t>
            </w:r>
          </w:p>
        </w:tc>
        <w:tc>
          <w:tcPr>
            <w:tcW w:w="1276" w:type="dxa"/>
            <w:vMerge w:val="restart"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классы</w:t>
            </w: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18503D">
        <w:trPr>
          <w:trHeight w:val="225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Знатоки немецкого языка</w:t>
            </w:r>
          </w:p>
        </w:tc>
        <w:tc>
          <w:tcPr>
            <w:tcW w:w="1276" w:type="dxa"/>
            <w:vMerge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220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легко и весело</w:t>
            </w:r>
          </w:p>
        </w:tc>
        <w:tc>
          <w:tcPr>
            <w:tcW w:w="1276" w:type="dxa"/>
            <w:vMerge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18503D">
        <w:trPr>
          <w:trHeight w:val="255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Pr="00B4251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немецкого языка</w:t>
            </w:r>
          </w:p>
        </w:tc>
        <w:tc>
          <w:tcPr>
            <w:tcW w:w="1276" w:type="dxa"/>
            <w:vMerge w:val="restart"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классы</w:t>
            </w: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18503D">
        <w:trPr>
          <w:trHeight w:val="210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Занимательный немецкий</w:t>
            </w:r>
          </w:p>
        </w:tc>
        <w:tc>
          <w:tcPr>
            <w:tcW w:w="1276" w:type="dxa"/>
            <w:vMerge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18503D">
        <w:trPr>
          <w:trHeight w:val="210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игре</w:t>
            </w:r>
          </w:p>
        </w:tc>
        <w:tc>
          <w:tcPr>
            <w:tcW w:w="1276" w:type="dxa"/>
            <w:vMerge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240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Немецкий: узнаем больше</w:t>
            </w:r>
          </w:p>
        </w:tc>
        <w:tc>
          <w:tcPr>
            <w:tcW w:w="1276" w:type="dxa"/>
            <w:vMerge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18503D">
        <w:trPr>
          <w:trHeight w:val="435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Pr="00B4251D" w:rsidRDefault="0018503D" w:rsidP="0018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Увлекательный немецкий язык</w:t>
            </w:r>
          </w:p>
        </w:tc>
        <w:tc>
          <w:tcPr>
            <w:tcW w:w="1276" w:type="dxa"/>
            <w:vMerge w:val="restart"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18503D">
        <w:trPr>
          <w:trHeight w:val="435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Default="0018503D" w:rsidP="0018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 с удовольствием</w:t>
            </w:r>
          </w:p>
        </w:tc>
        <w:tc>
          <w:tcPr>
            <w:tcW w:w="1276" w:type="dxa"/>
            <w:vMerge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255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276" w:type="dxa"/>
            <w:vMerge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18503D">
        <w:trPr>
          <w:trHeight w:val="225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Pr="00B4251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в игре</w:t>
            </w:r>
          </w:p>
        </w:tc>
        <w:tc>
          <w:tcPr>
            <w:tcW w:w="1276" w:type="dxa"/>
            <w:vMerge w:val="restart"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классы</w:t>
            </w: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240"/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Знатоки английского языка</w:t>
            </w:r>
          </w:p>
        </w:tc>
        <w:tc>
          <w:tcPr>
            <w:tcW w:w="1276" w:type="dxa"/>
            <w:vMerge/>
          </w:tcPr>
          <w:p w:rsidR="0018503D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8503D" w:rsidRDefault="0018503D" w:rsidP="00FA3056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FA3056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 w:val="restart"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870" w:type="dxa"/>
          </w:tcPr>
          <w:p w:rsidR="0018503D" w:rsidRPr="00B4251D" w:rsidRDefault="0018503D" w:rsidP="00A67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B4251D">
              <w:rPr>
                <w:rFonts w:ascii="Times New Roman" w:hAnsi="Times New Roman"/>
                <w:sz w:val="20"/>
                <w:szCs w:val="20"/>
              </w:rPr>
              <w:t>фотошопа</w:t>
            </w:r>
            <w:proofErr w:type="spellEnd"/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</w:tcPr>
          <w:p w:rsidR="0018503D" w:rsidRPr="000A2DD6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 xml:space="preserve">Терапия творчества 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1–2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 xml:space="preserve">Творческая мастерская 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3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 xml:space="preserve">Волшебный карандаш 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 xml:space="preserve">Планета загадок 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2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1121AC">
              <w:rPr>
                <w:rFonts w:ascii="Times New Roman" w:hAnsi="Times New Roman"/>
                <w:szCs w:val="24"/>
              </w:rPr>
              <w:t>Очумелые</w:t>
            </w:r>
            <w:proofErr w:type="gramEnd"/>
            <w:r w:rsidRPr="001121AC">
              <w:rPr>
                <w:rFonts w:ascii="Times New Roman" w:hAnsi="Times New Roman"/>
                <w:szCs w:val="24"/>
              </w:rPr>
              <w:t xml:space="preserve"> ручки  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3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21AC">
              <w:rPr>
                <w:rFonts w:ascii="Times New Roman" w:hAnsi="Times New Roman"/>
                <w:szCs w:val="24"/>
              </w:rPr>
              <w:t>Путешествие по Санкт-Петербургу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3-4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hideMark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B4251D" w:rsidRDefault="0018503D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Экология общения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7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B4251D" w:rsidRDefault="0018503D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Театральная студия «Маска»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jc w:val="center"/>
        </w:trPr>
        <w:tc>
          <w:tcPr>
            <w:tcW w:w="3050" w:type="dxa"/>
            <w:vMerge/>
            <w:vAlign w:val="center"/>
            <w:hideMark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B4251D" w:rsidRDefault="0018503D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Сложные вопросы географии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307"/>
          <w:jc w:val="center"/>
        </w:trPr>
        <w:tc>
          <w:tcPr>
            <w:tcW w:w="3050" w:type="dxa"/>
            <w:vMerge w:val="restart"/>
            <w:hideMark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0A2DD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870" w:type="dxa"/>
            <w:hideMark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Веселые нотки</w:t>
            </w:r>
          </w:p>
        </w:tc>
        <w:tc>
          <w:tcPr>
            <w:tcW w:w="1276" w:type="dxa"/>
          </w:tcPr>
          <w:p w:rsidR="0018503D" w:rsidRPr="001121AC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1–4 классы</w:t>
            </w:r>
          </w:p>
        </w:tc>
        <w:tc>
          <w:tcPr>
            <w:tcW w:w="1807" w:type="dxa"/>
          </w:tcPr>
          <w:p w:rsidR="0018503D" w:rsidRPr="001121AC" w:rsidRDefault="0018503D" w:rsidP="00A6797F">
            <w:pPr>
              <w:spacing w:line="240" w:lineRule="auto"/>
            </w:pPr>
            <w:r w:rsidRPr="001121AC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Pr="001121AC" w:rsidRDefault="0018503D" w:rsidP="00A67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1AC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313"/>
          <w:jc w:val="center"/>
        </w:trPr>
        <w:tc>
          <w:tcPr>
            <w:tcW w:w="3050" w:type="dxa"/>
            <w:vMerge/>
            <w:hideMark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B4251D" w:rsidRDefault="0018503D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Мастерская владения речью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320"/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  <w:hideMark/>
          </w:tcPr>
          <w:p w:rsidR="0018503D" w:rsidRPr="00B4251D" w:rsidRDefault="0018503D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51D">
              <w:rPr>
                <w:rFonts w:ascii="Times New Roman" w:hAnsi="Times New Roman"/>
                <w:sz w:val="20"/>
                <w:szCs w:val="20"/>
              </w:rPr>
              <w:t>Обществознайка</w:t>
            </w:r>
            <w:proofErr w:type="spellEnd"/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A2DD6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320"/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Pr="00B4251D" w:rsidRDefault="0018503D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Я в мире, мир во мне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320"/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Pr="00B4251D" w:rsidRDefault="0018503D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Развиваем дар речи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320"/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Pr="00B4251D" w:rsidRDefault="0018503D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Основы духовно-нравственного воспитания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  <w:tr w:rsidR="0018503D" w:rsidRPr="000A2DD6" w:rsidTr="00A6797F">
        <w:trPr>
          <w:trHeight w:val="320"/>
          <w:jc w:val="center"/>
        </w:trPr>
        <w:tc>
          <w:tcPr>
            <w:tcW w:w="3050" w:type="dxa"/>
            <w:vMerge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0" w:type="dxa"/>
          </w:tcPr>
          <w:p w:rsidR="0018503D" w:rsidRPr="00B4251D" w:rsidRDefault="0018503D" w:rsidP="00A6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276" w:type="dxa"/>
          </w:tcPr>
          <w:p w:rsidR="0018503D" w:rsidRPr="000A2DD6" w:rsidRDefault="0018503D" w:rsidP="00A67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классы</w:t>
            </w:r>
          </w:p>
        </w:tc>
        <w:tc>
          <w:tcPr>
            <w:tcW w:w="1807" w:type="dxa"/>
          </w:tcPr>
          <w:p w:rsidR="0018503D" w:rsidRDefault="0018503D" w:rsidP="00A6797F">
            <w:pPr>
              <w:spacing w:line="240" w:lineRule="auto"/>
            </w:pPr>
            <w:r w:rsidRPr="0053514D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</w:tcPr>
          <w:p w:rsidR="0018503D" w:rsidRDefault="0018503D" w:rsidP="00A6797F">
            <w:pPr>
              <w:spacing w:line="240" w:lineRule="auto"/>
              <w:jc w:val="center"/>
            </w:pPr>
            <w:r w:rsidRPr="00B710E4">
              <w:rPr>
                <w:rFonts w:ascii="Times New Roman" w:hAnsi="Times New Roman"/>
              </w:rPr>
              <w:t>очная</w:t>
            </w:r>
          </w:p>
        </w:tc>
      </w:tr>
    </w:tbl>
    <w:p w:rsidR="00E85BC0" w:rsidRPr="000A2DD6" w:rsidRDefault="00E85BC0" w:rsidP="00E85BC0"/>
    <w:p w:rsidR="00E85BC0" w:rsidRDefault="00E85BC0" w:rsidP="00E85BC0"/>
    <w:p w:rsidR="00B40AD8" w:rsidRPr="00E85BC0" w:rsidRDefault="00B40AD8" w:rsidP="00E85BC0"/>
    <w:sectPr w:rsidR="00B40AD8" w:rsidRPr="00E85BC0" w:rsidSect="0074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963"/>
    <w:multiLevelType w:val="hybridMultilevel"/>
    <w:tmpl w:val="58A40D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17"/>
    <w:rsid w:val="00151E17"/>
    <w:rsid w:val="0018503D"/>
    <w:rsid w:val="00217297"/>
    <w:rsid w:val="003A3BF4"/>
    <w:rsid w:val="0073639C"/>
    <w:rsid w:val="009162E8"/>
    <w:rsid w:val="00B31180"/>
    <w:rsid w:val="00B40AD8"/>
    <w:rsid w:val="00E57AA5"/>
    <w:rsid w:val="00E85BC0"/>
    <w:rsid w:val="00F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E8"/>
    <w:pPr>
      <w:ind w:left="720"/>
      <w:contextualSpacing/>
    </w:pPr>
  </w:style>
  <w:style w:type="table" w:styleId="a4">
    <w:name w:val="Table Grid"/>
    <w:basedOn w:val="a1"/>
    <w:uiPriority w:val="59"/>
    <w:rsid w:val="0091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E8"/>
    <w:pPr>
      <w:ind w:left="720"/>
      <w:contextualSpacing/>
    </w:pPr>
  </w:style>
  <w:style w:type="table" w:styleId="a4">
    <w:name w:val="Table Grid"/>
    <w:basedOn w:val="a1"/>
    <w:uiPriority w:val="59"/>
    <w:rsid w:val="0091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Zhorova</cp:lastModifiedBy>
  <cp:revision>2</cp:revision>
  <dcterms:created xsi:type="dcterms:W3CDTF">2019-09-12T14:32:00Z</dcterms:created>
  <dcterms:modified xsi:type="dcterms:W3CDTF">2019-09-12T14:32:00Z</dcterms:modified>
</cp:coreProperties>
</file>